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hAnsi="宋体" w:eastAsia="仿宋_GB2312"/>
          <w:bCs/>
          <w:sz w:val="30"/>
          <w:szCs w:val="30"/>
        </w:rPr>
      </w:pPr>
      <w:r>
        <w:rPr>
          <w:rFonts w:hint="eastAsia" w:ascii="仿宋_GB2312" w:hAnsi="宋体" w:eastAsia="仿宋_GB2312"/>
          <w:bCs/>
          <w:sz w:val="30"/>
          <w:szCs w:val="30"/>
        </w:rPr>
        <w:t>附件</w:t>
      </w:r>
      <w:bookmarkStart w:id="0" w:name="OLE_LINK1"/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1</w:t>
      </w:r>
      <w:bookmarkStart w:id="1" w:name="_GoBack"/>
      <w:bookmarkEnd w:id="1"/>
    </w:p>
    <w:p>
      <w:pPr>
        <w:spacing w:line="540" w:lineRule="exact"/>
        <w:rPr>
          <w:rFonts w:hint="eastAsia" w:ascii="仿宋_GB2312" w:hAnsi="宋体" w:eastAsia="仿宋_GB2312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2018年高校思想政治工作骨干在职攻读博士学位专项计划</w:t>
      </w:r>
    </w:p>
    <w:bookmarkEnd w:id="0"/>
    <w:tbl>
      <w:tblPr>
        <w:tblStyle w:val="5"/>
        <w:tblpPr w:leftFromText="180" w:rightFromText="180" w:vertAnchor="text" w:horzAnchor="page" w:tblpX="1537" w:tblpY="550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921"/>
        <w:gridCol w:w="921"/>
        <w:gridCol w:w="922"/>
        <w:gridCol w:w="921"/>
        <w:gridCol w:w="921"/>
        <w:gridCol w:w="92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5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5528" w:type="dxa"/>
            <w:gridSpan w:val="6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博士培养专业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2018年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计划数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atLeast"/>
        </w:trPr>
        <w:tc>
          <w:tcPr>
            <w:tcW w:w="25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21" w:type="dxa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马克思主义理论</w:t>
            </w:r>
          </w:p>
        </w:tc>
        <w:tc>
          <w:tcPr>
            <w:tcW w:w="921" w:type="dxa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党史党建</w:t>
            </w:r>
          </w:p>
        </w:tc>
        <w:tc>
          <w:tcPr>
            <w:tcW w:w="922" w:type="dxa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公共管理</w:t>
            </w:r>
          </w:p>
        </w:tc>
        <w:tc>
          <w:tcPr>
            <w:tcW w:w="921" w:type="dxa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管理科学与工程</w:t>
            </w:r>
          </w:p>
        </w:tc>
        <w:tc>
          <w:tcPr>
            <w:tcW w:w="921" w:type="dxa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发展与教育心理学</w:t>
            </w:r>
          </w:p>
        </w:tc>
        <w:tc>
          <w:tcPr>
            <w:tcW w:w="922" w:type="dxa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应用心理学</w:t>
            </w:r>
          </w:p>
        </w:tc>
        <w:tc>
          <w:tcPr>
            <w:tcW w:w="1134" w:type="dxa"/>
            <w:vMerge w:val="continue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中国人民大学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北京师范大学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中央财经大学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北京科技大学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南开大学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天津师范大学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河北师范大学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山西大学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内蒙古大学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大连理工大学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辽宁大学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大连海事大学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吉林大学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东北师范大学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/>
                <w:w w:val="90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哈尔滨师范大学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东北林业大学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复旦大学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上海交通大学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华东师范大学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上海大学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南京大学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南京师范大学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江苏大学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中国矿业大学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浙江大学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合肥工业大学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安徽师范大学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厦门大学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福建师范大学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江西师范大学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山东大学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山东师范大学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郑州大学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河南大学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8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中南财经政法大学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湖南大学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湘潭大学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湖南师范大学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中山大学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华南理工大学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华南师范大学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广西师范大学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海南师范大学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四川大学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电子科技大学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西南交通大学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西南财经大学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贵州师范大学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云南大学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西安交通大学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西北工业大学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陕西师范大学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西安科技大学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兰州大学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西北师范大学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新疆大学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新疆师范大学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／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518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合计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212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21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ymbolPS">
    <w:panose1 w:val="05050102010607020607"/>
    <w:charset w:val="00"/>
    <w:family w:val="auto"/>
    <w:pitch w:val="default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73FB"/>
    <w:rsid w:val="002E73FB"/>
    <w:rsid w:val="55CD553E"/>
    <w:rsid w:val="69D5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1233</Characters>
  <Lines>10</Lines>
  <Paragraphs>2</Paragraphs>
  <ScaleCrop>false</ScaleCrop>
  <LinksUpToDate>false</LinksUpToDate>
  <CharactersWithSpaces>1447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2018-03-07T08:44:00Z</dcterms:created>
  <dc:creator>Windows 用户</dc:creator>
  <cp:lastModifiedBy>wangyongliang309</cp:lastModifiedBy>
  <dcterms:modified xsi:type="dcterms:W3CDTF">2018-03-22T05:59:22Z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